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>Die Tabelle gibt Informationen über die Entwicklung der Konsum</w:t>
      </w:r>
      <w:r>
        <w:rPr>
          <w:sz w:val="24"/>
          <w:szCs w:val="24"/>
          <w:lang w:val="de-DE"/>
        </w:rPr>
        <w:t>ausgaben der privaten Haushalte</w:t>
      </w:r>
      <w:r w:rsidRPr="00A41861">
        <w:rPr>
          <w:sz w:val="24"/>
          <w:szCs w:val="24"/>
          <w:lang w:val="de-DE"/>
        </w:rPr>
        <w:t>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>Die Daten sind in Prozent angegeben und stammen aus 4 Jahren.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>Die Quelle ist das Statistisches Bundesamt.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Die </w:t>
      </w:r>
      <w:r w:rsidRPr="00A41861">
        <w:rPr>
          <w:sz w:val="24"/>
          <w:szCs w:val="24"/>
          <w:highlight w:val="yellow"/>
          <w:lang w:val="de-DE"/>
        </w:rPr>
        <w:t>Spalten</w:t>
      </w:r>
      <w:r w:rsidRPr="00A41861">
        <w:rPr>
          <w:sz w:val="24"/>
          <w:szCs w:val="24"/>
          <w:lang w:val="de-DE"/>
        </w:rPr>
        <w:t xml:space="preserve"> </w:t>
      </w:r>
      <w:r w:rsidRPr="00A41861">
        <w:rPr>
          <w:sz w:val="24"/>
          <w:szCs w:val="24"/>
          <w:highlight w:val="yellow"/>
          <w:lang w:val="de-DE"/>
        </w:rPr>
        <w:t>repräsentieren</w:t>
      </w:r>
      <w:r w:rsidRPr="00A41861">
        <w:rPr>
          <w:sz w:val="24"/>
          <w:szCs w:val="24"/>
          <w:lang w:val="de-DE"/>
        </w:rPr>
        <w:t xml:space="preserve"> die vier ausgewählten </w:t>
      </w:r>
      <w:r>
        <w:rPr>
          <w:sz w:val="24"/>
          <w:szCs w:val="24"/>
          <w:lang w:val="de-DE"/>
        </w:rPr>
        <w:t>Jahre</w:t>
      </w:r>
      <w:r w:rsidRPr="00A41861">
        <w:rPr>
          <w:sz w:val="24"/>
          <w:szCs w:val="24"/>
          <w:lang w:val="de-DE"/>
        </w:rPr>
        <w:t xml:space="preserve"> und die Zeilen stellen dar, wofür die Haushalte Geld ausgaben.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Wenn wir die Angaben im Jahr 1998 anschauen, sehen wir, dass Wohnung und Energie auf dem ersten Platz stand. </w:t>
      </w:r>
      <w:r w:rsidRPr="00A41861">
        <w:rPr>
          <w:sz w:val="24"/>
          <w:szCs w:val="24"/>
          <w:highlight w:val="cyan"/>
          <w:lang w:val="de-DE"/>
        </w:rPr>
        <w:t>31 % der Ausgaben ging für Wohnung und Energie.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Die Ausgaben für Nahrungsmittel, Getränke und Tabakwaren hatten den zweitgrößten </w:t>
      </w:r>
      <w:r w:rsidRPr="00A41861">
        <w:rPr>
          <w:sz w:val="24"/>
          <w:szCs w:val="24"/>
          <w:highlight w:val="yellow"/>
          <w:lang w:val="de-DE"/>
        </w:rPr>
        <w:t>Wert</w:t>
      </w:r>
      <w:r w:rsidRPr="00A41861">
        <w:rPr>
          <w:sz w:val="24"/>
          <w:szCs w:val="24"/>
          <w:lang w:val="de-DE"/>
        </w:rPr>
        <w:t xml:space="preserve"> mit 14 %. Im Vergleich zum Wohnen und Energie sehen wir hier einen </w:t>
      </w:r>
      <w:r w:rsidRPr="00A41861">
        <w:rPr>
          <w:sz w:val="24"/>
          <w:szCs w:val="24"/>
          <w:highlight w:val="yellow"/>
          <w:lang w:val="de-DE"/>
        </w:rPr>
        <w:t>erheblichen</w:t>
      </w:r>
      <w:r w:rsidRPr="00A41861">
        <w:rPr>
          <w:sz w:val="24"/>
          <w:szCs w:val="24"/>
          <w:lang w:val="de-DE"/>
        </w:rPr>
        <w:t xml:space="preserve"> Unterschied.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>An der dritten Stelle stand Verkehr mit einem Anteil von 13,5 %.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Den niedrigsten </w:t>
      </w:r>
      <w:r w:rsidRPr="00A41861">
        <w:rPr>
          <w:sz w:val="24"/>
          <w:szCs w:val="24"/>
          <w:highlight w:val="yellow"/>
          <w:lang w:val="de-DE"/>
        </w:rPr>
        <w:t>Anteil</w:t>
      </w:r>
      <w:r w:rsidRPr="00A41861">
        <w:rPr>
          <w:sz w:val="24"/>
          <w:szCs w:val="24"/>
          <w:lang w:val="de-DE"/>
        </w:rPr>
        <w:t xml:space="preserve"> am Gesamtausgaben sehen wir bei der Bildung. Nur 0,5 % Prozent der Gesamtausgaben wurde für Bildung aufgewendet.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Wenn wir die Entwicklung dieser Konsumausgaben in den geprüften Jahren vergleichen, sehen wir keine </w:t>
      </w:r>
      <w:r w:rsidRPr="00A41861">
        <w:rPr>
          <w:sz w:val="24"/>
          <w:szCs w:val="24"/>
          <w:highlight w:val="yellow"/>
          <w:lang w:val="de-DE"/>
        </w:rPr>
        <w:t>einheitliche</w:t>
      </w:r>
      <w:r w:rsidRPr="00A41861">
        <w:rPr>
          <w:sz w:val="24"/>
          <w:szCs w:val="24"/>
          <w:lang w:val="de-DE"/>
        </w:rPr>
        <w:t xml:space="preserve"> Tendenz.</w:t>
      </w:r>
    </w:p>
    <w:p w:rsidR="00A41861" w:rsidRP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lang w:val="de-DE"/>
        </w:rPr>
        <w:t xml:space="preserve">Die Ausgaben für Wohnung, </w:t>
      </w:r>
      <w:proofErr w:type="spellStart"/>
      <w:r w:rsidRPr="00A41861">
        <w:rPr>
          <w:sz w:val="24"/>
          <w:szCs w:val="24"/>
          <w:highlight w:val="cyan"/>
          <w:lang w:val="de-DE"/>
        </w:rPr>
        <w:t>Gaststätteleis</w:t>
      </w:r>
      <w:r>
        <w:rPr>
          <w:sz w:val="24"/>
          <w:szCs w:val="24"/>
          <w:highlight w:val="cyan"/>
          <w:lang w:val="de-DE"/>
        </w:rPr>
        <w:t>tungen</w:t>
      </w:r>
      <w:proofErr w:type="spellEnd"/>
      <w:r w:rsidRPr="00A41861">
        <w:rPr>
          <w:sz w:val="24"/>
          <w:szCs w:val="24"/>
          <w:highlight w:val="cyan"/>
          <w:lang w:val="de-DE"/>
        </w:rPr>
        <w:t xml:space="preserve"> und Gesundheitspflege</w:t>
      </w:r>
      <w:r w:rsidRPr="00A41861">
        <w:rPr>
          <w:sz w:val="24"/>
          <w:szCs w:val="24"/>
          <w:lang w:val="de-DE"/>
        </w:rPr>
        <w:t xml:space="preserve"> sind gestiegen. Wir sehen dagegen einen Rückgang in den Ausgaben für Freizeit und Bekleidung.</w:t>
      </w:r>
    </w:p>
    <w:p w:rsidR="00A41861" w:rsidRPr="00A41861" w:rsidRDefault="00A41861" w:rsidP="00CE329C">
      <w:pPr>
        <w:jc w:val="both"/>
        <w:rPr>
          <w:sz w:val="24"/>
          <w:szCs w:val="24"/>
          <w:highlight w:val="cyan"/>
          <w:lang w:val="de-DE"/>
        </w:rPr>
      </w:pPr>
      <w:r w:rsidRPr="00A41861">
        <w:rPr>
          <w:sz w:val="24"/>
          <w:szCs w:val="24"/>
          <w:highlight w:val="cyan"/>
          <w:lang w:val="de-DE"/>
        </w:rPr>
        <w:t xml:space="preserve">Die Ausgaben für Wohnung und Energie nahmen um 2,5 % zu. Den erheblichsten Rückgang können wir bei den Ausgaben für Innenausstattung beobachten. Der Wert der Innenausstattung betrug 7 % im Jahr 1998 und es ging auf 5 % zurück bis 2013. </w:t>
      </w:r>
    </w:p>
    <w:p w:rsidR="00A41861" w:rsidRDefault="00A41861" w:rsidP="00CE329C">
      <w:pPr>
        <w:jc w:val="both"/>
        <w:rPr>
          <w:sz w:val="24"/>
          <w:szCs w:val="24"/>
          <w:lang w:val="de-DE"/>
        </w:rPr>
      </w:pPr>
      <w:r w:rsidRPr="00A41861">
        <w:rPr>
          <w:sz w:val="24"/>
          <w:szCs w:val="24"/>
          <w:highlight w:val="cyan"/>
          <w:lang w:val="de-DE"/>
        </w:rPr>
        <w:t>Zusammenfassend können wir feststellen, dass die A</w:t>
      </w:r>
      <w:r>
        <w:rPr>
          <w:sz w:val="24"/>
          <w:szCs w:val="24"/>
          <w:highlight w:val="cyan"/>
          <w:lang w:val="de-DE"/>
        </w:rPr>
        <w:t>usgaben der deutschen Haushalte</w:t>
      </w:r>
      <w:r w:rsidRPr="00A41861">
        <w:rPr>
          <w:sz w:val="24"/>
          <w:szCs w:val="24"/>
          <w:highlight w:val="cyan"/>
          <w:lang w:val="de-DE"/>
        </w:rPr>
        <w:t xml:space="preserve"> für Wohnung u</w:t>
      </w:r>
      <w:r w:rsidR="00422CD5">
        <w:rPr>
          <w:sz w:val="24"/>
          <w:szCs w:val="24"/>
          <w:highlight w:val="cyan"/>
          <w:lang w:val="de-DE"/>
        </w:rPr>
        <w:t>nd Energie zirka ein Drittel der</w:t>
      </w:r>
      <w:r w:rsidRPr="00A41861">
        <w:rPr>
          <w:sz w:val="24"/>
          <w:szCs w:val="24"/>
          <w:highlight w:val="cyan"/>
          <w:lang w:val="de-DE"/>
        </w:rPr>
        <w:t xml:space="preserve"> Gesamtausgaben in diesem Zeitraum ausmachten.</w:t>
      </w:r>
    </w:p>
    <w:p w:rsidR="00CE329C" w:rsidRDefault="00CE329C" w:rsidP="00CE329C">
      <w:pPr>
        <w:jc w:val="both"/>
        <w:rPr>
          <w:b/>
          <w:sz w:val="24"/>
          <w:szCs w:val="24"/>
        </w:rPr>
      </w:pPr>
    </w:p>
    <w:p w:rsidR="00CE329C" w:rsidRDefault="0002593F" w:rsidP="00CE329C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 xml:space="preserve">Magyarázatképpen: </w:t>
      </w:r>
      <w:bookmarkStart w:id="0" w:name="_GoBack"/>
      <w:bookmarkEnd w:id="0"/>
    </w:p>
    <w:p w:rsidR="0002593F" w:rsidRPr="00CE329C" w:rsidRDefault="0002593F" w:rsidP="00CE329C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>A sárgával jelölt szavak azok, amiket fel kellett használni a leírásban.</w:t>
      </w:r>
    </w:p>
    <w:p w:rsidR="0002593F" w:rsidRPr="00CE329C" w:rsidRDefault="00422CD5" w:rsidP="00CE329C">
      <w:pPr>
        <w:jc w:val="both"/>
        <w:rPr>
          <w:b/>
          <w:sz w:val="24"/>
          <w:szCs w:val="24"/>
        </w:rPr>
      </w:pPr>
      <w:r w:rsidRPr="00CE329C">
        <w:rPr>
          <w:b/>
          <w:sz w:val="24"/>
          <w:szCs w:val="24"/>
        </w:rPr>
        <w:t xml:space="preserve">Mivel jelentősen túlléptem a megadott 160 szót az elemzés hosszával, kékkel jelöltem azokat a mondatokat, amiket </w:t>
      </w:r>
      <w:r w:rsidR="00CE329C" w:rsidRPr="00CE329C">
        <w:rPr>
          <w:b/>
          <w:sz w:val="24"/>
          <w:szCs w:val="24"/>
        </w:rPr>
        <w:t xml:space="preserve">egy írásbeli feladatban </w:t>
      </w:r>
      <w:r w:rsidRPr="00CE329C">
        <w:rPr>
          <w:b/>
          <w:sz w:val="24"/>
          <w:szCs w:val="24"/>
        </w:rPr>
        <w:t>esetleg ki lehetne hagyni.</w:t>
      </w:r>
    </w:p>
    <w:p w:rsidR="00A41861" w:rsidRPr="00CE329C" w:rsidRDefault="00A41861" w:rsidP="00CE329C">
      <w:pPr>
        <w:jc w:val="both"/>
        <w:rPr>
          <w:b/>
          <w:sz w:val="24"/>
          <w:szCs w:val="24"/>
        </w:rPr>
      </w:pPr>
    </w:p>
    <w:p w:rsidR="00AC69A9" w:rsidRPr="00A41861" w:rsidRDefault="00AC69A9" w:rsidP="00CE329C">
      <w:pPr>
        <w:jc w:val="both"/>
        <w:rPr>
          <w:sz w:val="24"/>
          <w:szCs w:val="24"/>
          <w:lang w:val="de-DE"/>
        </w:rPr>
      </w:pPr>
    </w:p>
    <w:sectPr w:rsidR="00AC69A9" w:rsidRPr="00A418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861"/>
    <w:rsid w:val="0002593F"/>
    <w:rsid w:val="00422CD5"/>
    <w:rsid w:val="00A41861"/>
    <w:rsid w:val="00AC69A9"/>
    <w:rsid w:val="00CE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73403"/>
  <w15:chartTrackingRefBased/>
  <w15:docId w15:val="{8533198F-2EB3-46B8-B09D-804538C3F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4186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229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2021-02-10T19:07:00Z</dcterms:created>
  <dcterms:modified xsi:type="dcterms:W3CDTF">2021-02-10T19:47:00Z</dcterms:modified>
</cp:coreProperties>
</file>